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D0CE" w14:textId="33E1B3AA" w:rsidR="00B936B3" w:rsidRPr="005E1309" w:rsidRDefault="005E1309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5E1309">
        <w:rPr>
          <w:rFonts w:asciiTheme="minorHAnsi" w:eastAsiaTheme="minorEastAsia" w:hAnsiTheme="minorHAnsi" w:cstheme="minorHAnsi"/>
          <w:b/>
          <w:bCs/>
          <w:color w:val="C3001E"/>
          <w:sz w:val="32"/>
          <w:szCs w:val="32"/>
          <w:lang w:val="es-ES" w:eastAsia="zh-CN"/>
        </w:rPr>
        <w:t>CASO PRÁCTICO DE CLIENTE</w:t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br/>
      </w:r>
      <w:r>
        <w:rPr>
          <w:rFonts w:asciiTheme="minorHAnsi" w:hAnsiTheme="minorHAnsi" w:cstheme="minorHAnsi"/>
          <w:b/>
          <w:bCs/>
          <w:sz w:val="20"/>
          <w:szCs w:val="20"/>
          <w:lang w:val="es-ES"/>
        </w:rPr>
        <w:br/>
      </w:r>
      <w:r w:rsidR="00B936B3" w:rsidRPr="007B484F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Mex, Suiza, </w:t>
      </w:r>
      <w:r>
        <w:rPr>
          <w:rFonts w:asciiTheme="minorHAnsi" w:hAnsiTheme="minorHAnsi" w:cstheme="minorHAnsi"/>
          <w:b/>
          <w:bCs/>
          <w:sz w:val="19"/>
          <w:szCs w:val="19"/>
          <w:lang w:val="es-ES"/>
        </w:rPr>
        <w:t>22</w:t>
      </w:r>
      <w:r w:rsidRPr="005E1309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 de agosto de 2024</w:t>
      </w:r>
    </w:p>
    <w:p w14:paraId="5909354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14D680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8D7E700" w14:textId="77777777" w:rsidR="005E1309" w:rsidRPr="005E1309" w:rsidRDefault="005E1309" w:rsidP="005E1309">
      <w:pPr>
        <w:spacing w:after="160" w:line="276" w:lineRule="auto"/>
        <w:rPr>
          <w:rFonts w:eastAsia="Calibri" w:cs="Arial"/>
          <w:b/>
          <w:bCs/>
          <w:sz w:val="20"/>
          <w:szCs w:val="20"/>
          <w:lang w:val="es-ES"/>
        </w:rPr>
      </w:pPr>
      <w:proofErr w:type="spellStart"/>
      <w:r w:rsidRPr="005E1309">
        <w:rPr>
          <w:rFonts w:eastAsia="Arial" w:cs="Arial"/>
          <w:b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b/>
          <w:sz w:val="20"/>
          <w:szCs w:val="20"/>
          <w:lang w:val="es-ES" w:bidi="es-ES"/>
        </w:rPr>
        <w:t xml:space="preserve"> NV consigue una producción más eficiente con una alta calidad constante gracias a BOBST EXPERTFOLD, ACCUBRAILLE y HANDYPACK GT</w:t>
      </w:r>
    </w:p>
    <w:p w14:paraId="6DC5E26F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NV, una empresa familiar que presta servicio al mercado europeo desde hace 25 </w:t>
      </w:r>
      <w:proofErr w:type="gramStart"/>
      <w:r w:rsidRPr="005E1309">
        <w:rPr>
          <w:rFonts w:eastAsia="Arial" w:cs="Arial"/>
          <w:sz w:val="20"/>
          <w:szCs w:val="20"/>
          <w:lang w:val="es-ES" w:bidi="es-ES"/>
        </w:rPr>
        <w:t>años,</w:t>
      </w:r>
      <w:proofErr w:type="gramEnd"/>
      <w:r w:rsidRPr="005E1309">
        <w:rPr>
          <w:rFonts w:eastAsia="Arial" w:cs="Arial"/>
          <w:sz w:val="20"/>
          <w:szCs w:val="20"/>
          <w:lang w:val="es-ES" w:bidi="es-ES"/>
        </w:rPr>
        <w:t xml:space="preserve"> ha experimentado un crecimiento notable en los últimos seis años y ha desarrollado una reputación envidiable en los sectores de los envases farmacéuticos y fitofarmacéuticos. </w:t>
      </w:r>
    </w:p>
    <w:p w14:paraId="5B8CAAB1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Con sede en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Kontich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(Bélgica), su objetivo es aumentar su capacidad y agilidad de producción para los pedidos que recibe, para lo cual ha invertido en una plegadora-encoladora BOBST EXPERTFOLD 50 con dos destacados módulos en línea, ACCUBRAILLE y la mesa de recogida semiautomática HANDYPACK GT.</w:t>
      </w:r>
    </w:p>
    <w:p w14:paraId="3E7D3792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bookmarkStart w:id="0" w:name="_Hlk163489869"/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Lissa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Vanmechelen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, directora general de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NV, lo explica así: «El sector farmacéutico depende de una combinación de velocidad y calidad. Nuestros clientes exigen entregas rápidas y, además, todos y cada uno de los productos que fabricamos debe ser perfecto. Elegimos EXPERTFOLD 50 para nuestro plegado y encolado porque nos ofrece el rendimiento que necesitamos, con la versatilidad necesaria para ampliar nuestras capacidades en toda la industria farmacéutica.</w:t>
      </w:r>
    </w:p>
    <w:p w14:paraId="64C9ABC3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«Esta inversión también nos ha servido para algo crucial: simplificar nuestros procesos y reducir la presión en nuestro equipo. Antes producíamos los envases con braille por separado en nuestras máquinas de troquelado o los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sub-contratábamos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cuando hacía falta. Pero queríamos producirlos en línea como parte de nuestro proceso de plegado.»</w:t>
      </w:r>
    </w:p>
    <w:p w14:paraId="27CF3BDF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La gama de plegadoras-encoladoras EXPERTFOLD puede producir una cantidad impresionante de estilos de cajas a velocidades de hasta 450 m/min. Es ideal para convertidores que manejan grandes volúmenes, ya que ofrece una productividad excelente y una alta calidad constante. Gracias a la interfaz intuitiva del sistema de control HMI SPHERE, EXPERTFOLD es totalmente compatible con BOBST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Connect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>. Esta plataforma en la nube desempeña un papel fundamental en la optimización de procesos, permite un intercambio de datos fluido entre las máquinas y encadena todo el proceso, desde el PDF del cliente hasta el producto terminado.</w:t>
      </w:r>
    </w:p>
    <w:p w14:paraId="5438A04B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La gama EXPERTFOLD, con su tecnología BOBST versátil, permite a los convertidores de embalajes llevar otros procesos en línea incorporando módulos adicionales. Uno de estos procesos, el grabado Braille, era importantísimo para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NV en el sector farmacéutico.</w:t>
      </w:r>
    </w:p>
    <w:p w14:paraId="1B6A45A0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«Para conseguir una mayor eficiencia, queríamos incorporar la producción de Braille en línea —prosiguió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Lissa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>—. Antes lo hacíamos con nuestras troqueladoras, y algunos de los trabajos los teníamos que subcontratar. El módulo ACCUBRAILLE de BOBST, que tenemos tanto a la izquierda como a la derecha, resuelve el problema integrando todo el proceso en línea. Podemos grabar Braille en nuestros cuatro paneles de cartón, incluso en la dirección de procesado y la calidad es fantástica.»</w:t>
      </w:r>
    </w:p>
    <w:p w14:paraId="56FDBF93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La máquina ACCUBRAILLE patentada puede grabar hasta 8 líneas de braille, incluso con grabado transversal, con una introducción suave de poses sin puntos. Los operadores ahorran tiempo gracias a </w:t>
      </w:r>
      <w:r w:rsidRPr="005E1309">
        <w:rPr>
          <w:rFonts w:eastAsia="Arial" w:cs="Arial"/>
          <w:sz w:val="20"/>
          <w:szCs w:val="20"/>
          <w:lang w:val="es-ES" w:bidi="es-ES"/>
        </w:rPr>
        <w:lastRenderedPageBreak/>
        <w:t>este sistema de montaje rápido con herramientas y el ajuste monitorizado de la altura de los puntos proporciona una ergonomía excelente para el usuario.</w:t>
      </w:r>
    </w:p>
    <w:p w14:paraId="5FAB49EF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r w:rsidRPr="005E1309">
        <w:rPr>
          <w:rFonts w:eastAsia="Arial" w:cs="Arial"/>
          <w:sz w:val="20"/>
          <w:szCs w:val="20"/>
          <w:lang w:val="es-ES" w:bidi="es-ES"/>
        </w:rPr>
        <w:t xml:space="preserve">Para aumentar la eficiencia en la línea,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NV también ha invertido en el periférico HANDYPACK GT de BOBST a la salida. La tabla de recogida semiautomática aumenta la productividad de las plegadoras-encoladoras con una recogida sencilla del cartón, incluso con un recuento mínimo por el personal. Además de reducir la presión que suponen las tareas manuales para la plantilla, </w:t>
      </w: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Unit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NV descubrió una ventaja adicional, y es que con HANDYPACK podía controlar mejor el número de envases terminados que se creaban.</w:t>
      </w:r>
    </w:p>
    <w:p w14:paraId="4940465E" w14:textId="77777777" w:rsidR="005E1309" w:rsidRPr="005E1309" w:rsidRDefault="005E1309" w:rsidP="005E1309">
      <w:pPr>
        <w:spacing w:after="160" w:line="276" w:lineRule="auto"/>
        <w:rPr>
          <w:rFonts w:eastAsia="Calibri" w:cs="Arial"/>
          <w:sz w:val="20"/>
          <w:szCs w:val="20"/>
          <w:lang w:val="es-ES"/>
        </w:rPr>
      </w:pPr>
      <w:proofErr w:type="spellStart"/>
      <w:r w:rsidRPr="005E1309">
        <w:rPr>
          <w:rFonts w:eastAsia="Arial" w:cs="Arial"/>
          <w:sz w:val="20"/>
          <w:szCs w:val="20"/>
          <w:lang w:val="es-ES" w:bidi="es-ES"/>
        </w:rPr>
        <w:t>Lissa</w:t>
      </w:r>
      <w:proofErr w:type="spellEnd"/>
      <w:r w:rsidRPr="005E1309">
        <w:rPr>
          <w:rFonts w:eastAsia="Arial" w:cs="Arial"/>
          <w:sz w:val="20"/>
          <w:szCs w:val="20"/>
          <w:lang w:val="es-ES" w:bidi="es-ES"/>
        </w:rPr>
        <w:t xml:space="preserve"> añadió: «La tecnología es fácil de configurar y su manejo es sencillo. Además, la formación y el soporte que recibimos de BOBST son excelentes. Con EXPERTFOLD 50 y las soluciones ACCUBRAILLE y HANDYPACK que tenemos implantadas, estamos viendo un aumento de la velocidad de producción de en torno al 25 %. Es una gran ventaja contar con ellas en un mercado competitivo y nos permite hacer más a diario. Lo que queríamos lograr con nuestra inversión era integrar la mayor cantidad posible de procesos en línea y conseguir más en una sola pasada. Ahora podemos hacerlo, y nuestra configuración en línea nos brinda más agilidad para hacer cambios o solucionar errores, así que la calidad de lo que producimos es fantástica.»</w:t>
      </w:r>
    </w:p>
    <w:bookmarkEnd w:id="0"/>
    <w:p w14:paraId="160516D3" w14:textId="03FCE788" w:rsidR="00EF0880" w:rsidRPr="005E1309" w:rsidRDefault="005E1309" w:rsidP="005E1309">
      <w:pPr>
        <w:spacing w:after="160" w:line="259" w:lineRule="auto"/>
        <w:rPr>
          <w:rFonts w:ascii="Calibri" w:eastAsia="Calibri" w:hAnsi="Calibri" w:cs="Arial"/>
          <w:sz w:val="22"/>
          <w:szCs w:val="22"/>
          <w:lang w:val="es-ES"/>
        </w:rPr>
      </w:pPr>
      <w:r w:rsidRPr="005E1309">
        <w:rPr>
          <w:rFonts w:ascii="Calibri" w:eastAsia="Calibri" w:hAnsi="Calibri" w:cs="Arial"/>
          <w:sz w:val="22"/>
          <w:szCs w:val="22"/>
          <w:lang w:val="es-ES" w:bidi="es-ES"/>
        </w:rPr>
        <w:t>FIN</w:t>
      </w:r>
    </w:p>
    <w:p w14:paraId="17FE10A5" w14:textId="77777777" w:rsidR="00B936B3" w:rsidRPr="00F11391" w:rsidRDefault="00B936B3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487D32D5" w14:textId="77777777" w:rsidR="00960BD0" w:rsidRPr="00960BD0" w:rsidRDefault="00960BD0" w:rsidP="00960BD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960BD0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2507B1D5" w14:textId="77777777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</w:p>
    <w:p w14:paraId="333DF3E9" w14:textId="77777777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6493E85D" w14:textId="6AC30453" w:rsidR="00F775CD" w:rsidRDefault="003837B8" w:rsidP="003837B8">
      <w:pPr>
        <w:spacing w:line="240" w:lineRule="auto"/>
        <w:rPr>
          <w:rFonts w:cs="Arial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21 plantas de producción en 12 países y emplea a más 6 300 trabajadores en todo el mundo. La compañía registró una facturación consolidada de 1.960 mil millones de francos suizos durante el ejercicio finalizado el 31 de diciembre de 2023.</w:t>
      </w:r>
    </w:p>
    <w:p w14:paraId="406DE4D5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A27024" w:rsidRDefault="00D12952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r w:rsidRPr="00A27024">
        <w:rPr>
          <w:rFonts w:cs="Arial"/>
          <w:sz w:val="19"/>
          <w:szCs w:val="19"/>
          <w:lang w:val="fr-BE" w:eastAsia="zh-CN"/>
        </w:rPr>
        <w:t>Gudrun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r w:rsidRPr="00960BD0">
        <w:rPr>
          <w:rFonts w:cs="Arial"/>
          <w:sz w:val="19"/>
          <w:szCs w:val="19"/>
          <w:lang w:val="fr-CH" w:eastAsia="de-DE"/>
        </w:rPr>
        <w:t>Tel</w:t>
      </w:r>
      <w:proofErr w:type="gramStart"/>
      <w:r w:rsidRPr="00960BD0">
        <w:rPr>
          <w:rFonts w:cs="Arial"/>
          <w:sz w:val="19"/>
          <w:szCs w:val="19"/>
          <w:lang w:val="fr-CH" w:eastAsia="de-DE"/>
        </w:rPr>
        <w:t>.: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+49 211 58 58 66 66 </w:t>
      </w:r>
    </w:p>
    <w:p w14:paraId="4EC36826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Mobile: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+49 160 48 41 439</w:t>
      </w:r>
    </w:p>
    <w:p w14:paraId="397F5226" w14:textId="77777777" w:rsidR="000B5055" w:rsidRPr="00960BD0" w:rsidRDefault="000B5055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Email: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</w:t>
      </w:r>
      <w:hyperlink r:id="rId7" w:history="1">
        <w:r w:rsidRPr="00960BD0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CH" w:eastAsia="de-DE"/>
          </w:rPr>
          <w:t>gudrun.alex@bobst.com</w:t>
        </w:r>
      </w:hyperlink>
    </w:p>
    <w:p w14:paraId="647F40A9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</w:p>
    <w:p w14:paraId="00E090D4" w14:textId="77777777" w:rsidR="00D12952" w:rsidRPr="00960BD0" w:rsidRDefault="00D12952" w:rsidP="00B936B3">
      <w:pPr>
        <w:rPr>
          <w:rFonts w:cs="Arial"/>
          <w:sz w:val="19"/>
          <w:szCs w:val="19"/>
          <w:lang w:val="fr-CH" w:eastAsia="de-DE"/>
        </w:rPr>
      </w:pPr>
    </w:p>
    <w:p w14:paraId="4220CB0A" w14:textId="77777777" w:rsidR="000B5055" w:rsidRDefault="000B5055" w:rsidP="00B936B3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t>Follow us:</w:t>
      </w:r>
    </w:p>
    <w:p w14:paraId="7F1A170C" w14:textId="77777777" w:rsidR="00D12952" w:rsidRPr="00A27024" w:rsidRDefault="00D12952" w:rsidP="00B936B3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n-US" w:eastAsia="zh-CN" w:bidi="th-TH"/>
        </w:rPr>
      </w:pPr>
    </w:p>
    <w:p w14:paraId="26F3198D" w14:textId="02498DC0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Facebook: </w:t>
      </w:r>
      <w:hyperlink r:id="rId8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9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0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5930D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3DC3" w14:textId="77777777" w:rsidR="005930D2" w:rsidRDefault="005930D2" w:rsidP="00BB5BE9">
      <w:pPr>
        <w:spacing w:line="240" w:lineRule="auto"/>
      </w:pPr>
      <w:r>
        <w:separator/>
      </w:r>
    </w:p>
  </w:endnote>
  <w:endnote w:type="continuationSeparator" w:id="0">
    <w:p w14:paraId="1A28EB55" w14:textId="77777777" w:rsidR="005930D2" w:rsidRDefault="005930D2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EA75D" w14:textId="77777777" w:rsidR="005930D2" w:rsidRDefault="005930D2" w:rsidP="00BB5BE9">
      <w:pPr>
        <w:spacing w:line="240" w:lineRule="auto"/>
      </w:pPr>
      <w:r>
        <w:separator/>
      </w:r>
    </w:p>
  </w:footnote>
  <w:footnote w:type="continuationSeparator" w:id="0">
    <w:p w14:paraId="353D85FC" w14:textId="77777777" w:rsidR="005930D2" w:rsidRDefault="005930D2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F756" w14:textId="77777777" w:rsidR="00BB5BE9" w:rsidRPr="005D389A" w:rsidRDefault="005E1309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F5056" w14:textId="77777777" w:rsidR="00F36CF1" w:rsidRPr="005D389A" w:rsidRDefault="005E1309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309172">
    <w:abstractNumId w:val="9"/>
  </w:num>
  <w:num w:numId="2" w16cid:durableId="1512988409">
    <w:abstractNumId w:val="7"/>
  </w:num>
  <w:num w:numId="3" w16cid:durableId="901863574">
    <w:abstractNumId w:val="6"/>
  </w:num>
  <w:num w:numId="4" w16cid:durableId="1747611059">
    <w:abstractNumId w:val="5"/>
  </w:num>
  <w:num w:numId="5" w16cid:durableId="158428193">
    <w:abstractNumId w:val="4"/>
  </w:num>
  <w:num w:numId="6" w16cid:durableId="1346516366">
    <w:abstractNumId w:val="8"/>
  </w:num>
  <w:num w:numId="7" w16cid:durableId="611715432">
    <w:abstractNumId w:val="3"/>
  </w:num>
  <w:num w:numId="8" w16cid:durableId="1098136562">
    <w:abstractNumId w:val="2"/>
  </w:num>
  <w:num w:numId="9" w16cid:durableId="455804804">
    <w:abstractNumId w:val="1"/>
  </w:num>
  <w:num w:numId="10" w16cid:durableId="16422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17782"/>
    <w:rsid w:val="0027064C"/>
    <w:rsid w:val="002A62A9"/>
    <w:rsid w:val="00343342"/>
    <w:rsid w:val="003800D4"/>
    <w:rsid w:val="003837B8"/>
    <w:rsid w:val="004C2489"/>
    <w:rsid w:val="004C5501"/>
    <w:rsid w:val="004F3549"/>
    <w:rsid w:val="00546823"/>
    <w:rsid w:val="00574281"/>
    <w:rsid w:val="005930D2"/>
    <w:rsid w:val="005A0E31"/>
    <w:rsid w:val="005A4060"/>
    <w:rsid w:val="005A48B2"/>
    <w:rsid w:val="005D389A"/>
    <w:rsid w:val="005E1309"/>
    <w:rsid w:val="00600B2B"/>
    <w:rsid w:val="006464E6"/>
    <w:rsid w:val="006A45F6"/>
    <w:rsid w:val="006A73CE"/>
    <w:rsid w:val="006C70AF"/>
    <w:rsid w:val="00722663"/>
    <w:rsid w:val="00756417"/>
    <w:rsid w:val="00766D70"/>
    <w:rsid w:val="007B484F"/>
    <w:rsid w:val="0084626F"/>
    <w:rsid w:val="0089339F"/>
    <w:rsid w:val="008B5EF4"/>
    <w:rsid w:val="008C4AAD"/>
    <w:rsid w:val="008D353F"/>
    <w:rsid w:val="0094373A"/>
    <w:rsid w:val="00960BD0"/>
    <w:rsid w:val="009A0420"/>
    <w:rsid w:val="009D2B7E"/>
    <w:rsid w:val="00A131E9"/>
    <w:rsid w:val="00A27024"/>
    <w:rsid w:val="00A3204D"/>
    <w:rsid w:val="00A6166E"/>
    <w:rsid w:val="00AB644E"/>
    <w:rsid w:val="00AB74A9"/>
    <w:rsid w:val="00AD5546"/>
    <w:rsid w:val="00B73492"/>
    <w:rsid w:val="00B936B3"/>
    <w:rsid w:val="00BB5BE9"/>
    <w:rsid w:val="00BE0378"/>
    <w:rsid w:val="00C179A7"/>
    <w:rsid w:val="00C20D00"/>
    <w:rsid w:val="00C42F61"/>
    <w:rsid w:val="00CC20B7"/>
    <w:rsid w:val="00CC7F9D"/>
    <w:rsid w:val="00D12952"/>
    <w:rsid w:val="00D33141"/>
    <w:rsid w:val="00D65423"/>
    <w:rsid w:val="00DA5A2A"/>
    <w:rsid w:val="00DB1DC2"/>
    <w:rsid w:val="00DC3BB1"/>
    <w:rsid w:val="00DE5DD2"/>
    <w:rsid w:val="00E61AB6"/>
    <w:rsid w:val="00EA47D3"/>
    <w:rsid w:val="00EF0880"/>
    <w:rsid w:val="00F03D8B"/>
    <w:rsid w:val="00F36CF1"/>
    <w:rsid w:val="00F775CD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bst.com/youtu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2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2</cp:revision>
  <cp:lastPrinted>2015-02-06T09:00:00Z</cp:lastPrinted>
  <dcterms:created xsi:type="dcterms:W3CDTF">2024-08-19T13:05:00Z</dcterms:created>
  <dcterms:modified xsi:type="dcterms:W3CDTF">2024-08-19T13:05:00Z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